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效忠国王</w:t>
      </w:r>
    </w:p>
    <w:p>
      <w:r>
        <w:rPr>
          <w:rFonts w:ascii="宋体" w:hAnsi="宋体" w:eastAsia="宋体"/>
          <w:sz w:val="24"/>
        </w:rPr>
        <w:t>（法）大仲马（Dumas，A.）著；（ ）勒马歇尔（Remachel，H.）改写 韩伏秋注释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效忠国王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（法）大仲马（Dumas，A.）著；（ ）勒马歇尔（Remachel，H.）改写 韩伏秋注释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本书出售、求购地址：https://www.jiaokey.com/book/detail/13055376.html</w:t>
      </w:r>
    </w:p>
    <w:p>
      <w:r>
        <w:t>更多相关图书推荐：https://www.jiaokey.com</w:t>
      </w:r>
    </w:p>
    <w:p>
      <w:r>
        <w:t>（法）大仲马（Dumas，A.）著；（ ）勒马歇尔（Remachel，H.）改写 韩伏秋注释 其他作品：https://www.jiaokey.com/tag/（法）大仲马（Dumas，A.）著；（ ）勒马歇尔（Remachel，H.）改写 韩伏秋注释.html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关键词搜索：https://www.jiaokey.com/tag/三个火枪手  效忠国王.html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