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中国要淡定  直言内政外交</w:t>
      </w:r>
    </w:p>
    <w:p>
      <w:r>
        <w:rPr>
          <w:rFonts w:ascii="宋体" w:hAnsi="宋体" w:eastAsia="宋体"/>
          <w:sz w:val="24"/>
        </w:rPr>
        <w:t>张国庆，马晓霖，徐立凡等著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中国要淡定  直言内政外交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张国庆，马晓霖，徐立凡等著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本书出售、求购地址：https://www.jiaokey.com/book/detail/13050906.html</w:t>
      </w:r>
    </w:p>
    <w:p>
      <w:r>
        <w:t>更多相关图书推荐：https://www.jiaokey.com</w:t>
      </w:r>
    </w:p>
    <w:p>
      <w:r>
        <w:t>张国庆，马晓霖，徐立凡等著 其他作品：https://www.jiaokey.com/tag/张国庆，马晓霖，徐立凡等著.html</w:t>
      </w:r>
    </w:p>
    <w:p>
      <w:r>
        <w:t>凤凰出版社 出版图书：https://www.jiaokey.com/tag/凤凰出版社.html</w:t>
      </w:r>
    </w:p>
    <w:p>
      <w:r>
        <w:t>关键词搜索：https://www.jiaokey.com/tag/中国要淡定  直言内政外交.html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