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课程资源开发与利用  原理与策略</w:t>
      </w:r>
    </w:p>
    <w:p>
      <w:r>
        <w:rPr>
          <w:rFonts w:ascii="宋体" w:hAnsi="宋体" w:eastAsia="宋体"/>
          <w:sz w:val="24"/>
        </w:rPr>
        <w:t>段兆兵等著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课程资源开发与利用  原理与策略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段兆兵等著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芜湖：安徽师范大学出版社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本书出售、求购地址：https://www.jiaokey.com/book/detail/13050425.html</w:t>
      </w:r>
    </w:p>
    <w:p>
      <w:r>
        <w:t>更多相关图书推荐：https://www.jiaokey.com</w:t>
      </w:r>
    </w:p>
    <w:p>
      <w:r>
        <w:t>段兆兵等著 其他作品：https://www.jiaokey.com/tag/段兆兵等著.html</w:t>
      </w:r>
    </w:p>
    <w:p>
      <w:r>
        <w:t>芜湖：安徽师范大学出版社 出版图书：https://www.jiaokey.com/tag/芜湖：安徽师范大学出版社.html</w:t>
      </w:r>
    </w:p>
    <w:p>
      <w:r>
        <w:t>关键词搜索：https://www.jiaokey.com/tag/课程资源开发与利用  原理与策略.html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