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</w:t>
      </w:r>
    </w:p>
    <w:p>
      <w:r>
        <w:rPr>
          <w:rFonts w:ascii="宋体" w:hAnsi="宋体" w:eastAsia="宋体"/>
          <w:sz w:val="24"/>
        </w:rPr>
        <w:t>曲宏山，饶拱维主编；张帆，杨贵茂，王楠副主编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曲宏山，饶拱维主编；张帆，杨贵茂，王楠副主编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本书出售、求购地址：https://www.jiaokey.com/book/detail/13044418.html</w:t>
      </w:r>
    </w:p>
    <w:p>
      <w:r>
        <w:t>更多相关图书推荐：https://www.jiaokey.com</w:t>
      </w:r>
    </w:p>
    <w:p>
      <w:r>
        <w:t>曲宏山，饶拱维主编；张帆，杨贵茂，王楠副主编 其他作品：https://www.jiaokey.com/tag/曲宏山，饶拱维主编；张帆，杨贵茂，王楠副主编.html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