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后现代学科与理论</w:t>
      </w:r>
    </w:p>
    <w:p>
      <w:r>
        <w:rPr>
          <w:rFonts w:ascii="宋体" w:hAnsi="宋体" w:eastAsia="宋体"/>
          <w:sz w:val="24"/>
        </w:rPr>
        <w:t>孟樊，郑祥福主编；汪亚明，叶志良，王文杰等著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后现代学科与理论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孟樊，郑祥福主编；汪亚明，叶志良，王文杰等著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本书出售、求购地址：https://www.jiaokey.com/book/detail/13042210.html</w:t>
      </w:r>
    </w:p>
    <w:p>
      <w:r>
        <w:t>更多相关图书推荐：https://www.jiaokey.com</w:t>
      </w:r>
    </w:p>
    <w:p>
      <w:r>
        <w:t>孟樊，郑祥福主编；汪亚明，叶志良，王文杰等著 其他作品：https://www.jiaokey.com/tag/孟樊，郑祥福主编；汪亚明，叶志良，王文杰等著.html</w:t>
      </w:r>
    </w:p>
    <w:p>
      <w:r>
        <w:t>生智文化事业有限公司 出版图书：https://www.jiaokey.com/tag/生智文化事业有限公司.html</w:t>
      </w:r>
    </w:p>
    <w:p>
      <w:r>
        <w:t>关键词搜索：https://www.jiaokey.com/tag/后现代学科与理论.html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