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台湾传统常民社会的明幽二元思维  普度、祭厉与善书</w:t>
      </w:r>
    </w:p>
    <w:p>
      <w:r>
        <w:rPr>
          <w:rFonts w:ascii="宋体" w:hAnsi="宋体" w:eastAsia="宋体"/>
          <w:sz w:val="24"/>
        </w:rPr>
        <w:t>江志宏著；国立编译馆主编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台湾传统常民社会的明幽二元思维  普度、祭厉与善书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江志宏著；国立编译馆主编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本书出售、求购地址：https://www.jiaokey.com/book/detail/13042143.html</w:t>
      </w:r>
    </w:p>
    <w:p>
      <w:r>
        <w:t>更多相关图书推荐：https://www.jiaokey.com</w:t>
      </w:r>
    </w:p>
    <w:p>
      <w:r>
        <w:t>江志宏著；国立编译馆主编 其他作品：https://www.jiaokey.com/tag/江志宏著；国立编译馆主编.html</w:t>
      </w:r>
    </w:p>
    <w:p>
      <w:r>
        <w:t>稻香出版社 出版图书：https://www.jiaokey.com/tag/稻香出版社.html</w:t>
      </w:r>
    </w:p>
    <w:p>
      <w:r>
        <w:t>关键词搜索：https://www.jiaokey.com/tag/台湾传统常民社会的明幽二元思维  普度、祭厉与善书.html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