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天性与教养  先天基因与后天环境的交互作用</w:t>
      </w:r>
    </w:p>
    <w:p>
      <w:r>
        <w:rPr>
          <w:rFonts w:ascii="宋体" w:hAnsi="宋体" w:eastAsia="宋体"/>
          <w:sz w:val="24"/>
        </w:rPr>
        <w:t>马特·瑞德利著；洪兰译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天性与教养  先天基因与后天环境的交互作用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马特·瑞德利著；洪兰译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本书出售、求购地址：https://www.jiaokey.com/book/detail/13042026.html</w:t>
      </w:r>
    </w:p>
    <w:p>
      <w:r>
        <w:t>更多相关图书推荐：https://www.jiaokey.com</w:t>
      </w:r>
    </w:p>
    <w:p>
      <w:r>
        <w:t>马特·瑞德利著；洪兰译 其他作品：https://www.jiaokey.com/tag/马特·瑞德利著；洪兰译.html</w:t>
      </w:r>
    </w:p>
    <w:p>
      <w:r>
        <w:t>商周出版社 出版图书：https://www.jiaokey.com/tag/商周出版社.html</w:t>
      </w:r>
    </w:p>
    <w:p>
      <w:r>
        <w:t>关键词搜索：https://www.jiaokey.com/tag/天性与教养  先天基因与后天环境的交互作用.html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