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电脑组装与维护案例教程</w:t>
      </w:r>
    </w:p>
    <w:p>
      <w:r>
        <w:rPr>
          <w:rFonts w:ascii="宋体" w:hAnsi="宋体" w:eastAsia="宋体"/>
          <w:sz w:val="24"/>
        </w:rPr>
        <w:t>史艺，刘增波，朱赣主编；董亚谋，李奇，胡均保，郑盼民，刘宇，丁永卫副主编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史艺，刘增波，朱赣主编；董亚谋，李奇，胡均保，郑盼民，刘宇，丁永卫副主编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本书出售、求购地址：https://www.jiaokey.com/book/detail/13041549.html</w:t>
      </w:r>
    </w:p>
    <w:p>
      <w:r>
        <w:t>更多相关图书推荐：https://www.jiaokey.com</w:t>
      </w:r>
    </w:p>
    <w:p>
      <w:r>
        <w:t>史艺，刘增波，朱赣主编；董亚谋，李奇，胡均保，郑盼民，刘宇，丁永卫副主编 其他作品：https://www.jiaokey.com/tag/史艺，刘增波，朱赣主编；董亚谋，李奇，胡均保，郑盼民，刘宇，丁永卫副主编.html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关键词搜索：https://www.jiaokey.com/tag/电脑组装与维护案例教程.html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