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</w:t>
      </w:r>
    </w:p>
    <w:p>
      <w:r>
        <w:rPr>
          <w:rFonts w:ascii="宋体" w:hAnsi="宋体" w:eastAsia="宋体"/>
          <w:sz w:val="24"/>
        </w:rPr>
        <w:t>蒋晓萍，金波主编；司马燕龙主审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蒋晓萍，金波主编；司马燕龙主审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本书出售、求购地址：https://www.jiaokey.com/book/detail/13040522.html</w:t>
      </w:r>
    </w:p>
    <w:p>
      <w:r>
        <w:t>更多相关图书推荐：https://www.jiaokey.com</w:t>
      </w:r>
    </w:p>
    <w:p>
      <w:r>
        <w:t>蒋晓萍，金波主编；司马燕龙主审 其他作品：https://www.jiaokey.com/tag/蒋晓萍，金波主编；司马燕龙主审.html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