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思想道德修养与法律素质养成指导用书</w:t>
      </w:r>
    </w:p>
    <w:p>
      <w:r>
        <w:rPr>
          <w:rFonts w:ascii="宋体" w:hAnsi="宋体" w:eastAsia="宋体"/>
          <w:sz w:val="24"/>
        </w:rPr>
        <w:t>钟奇江主编；罗财喜副主编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思想道德修养与法律素质养成指导用书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钟奇江主编；罗财喜副主编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湘潭：湘潭大学出版社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本书出售、求购地址：https://www.jiaokey.com/book/detail/13040358.html</w:t>
      </w:r>
    </w:p>
    <w:p>
      <w:r>
        <w:t>更多相关图书推荐：https://www.jiaokey.com</w:t>
      </w:r>
    </w:p>
    <w:p>
      <w:r>
        <w:t>钟奇江主编；罗财喜副主编 其他作品：https://www.jiaokey.com/tag/钟奇江主编；罗财喜副主编.html</w:t>
      </w:r>
    </w:p>
    <w:p>
      <w:r>
        <w:t>湘潭：湘潭大学出版社 出版图书：https://www.jiaokey.com/tag/湘潭：湘潭大学出版社.html</w:t>
      </w:r>
    </w:p>
    <w:p>
      <w:r>
        <w:t>关键词搜索：https://www.jiaokey.com/tag/思想道德修养与法律素质养成指导用书.html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