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风格美感经济学</w:t>
      </w:r>
    </w:p>
    <w:p>
      <w:r>
        <w:rPr>
          <w:rFonts w:ascii="宋体" w:hAnsi="宋体" w:eastAsia="宋体"/>
          <w:sz w:val="24"/>
        </w:rPr>
        <w:t>维吉妮亚·帕斯楚著；阎蕙群，陈俐雯译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风格美感经济学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维吉妮亚·帕斯楚著；阎蕙群，陈俐雯译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本书出售、求购地址：https://www.jiaokey.com/book/detail/13038470.html</w:t>
      </w:r>
    </w:p>
    <w:p>
      <w:r>
        <w:t>更多相关图书推荐：https://www.jiaokey.com</w:t>
      </w:r>
    </w:p>
    <w:p>
      <w:r>
        <w:t>维吉妮亚·帕斯楚著；阎蕙群，陈俐雯译 其他作品：https://www.jiaokey.com/tag/维吉妮亚·帕斯楚著；阎蕙群，陈俐雯译.html</w:t>
      </w:r>
    </w:p>
    <w:p>
      <w:r>
        <w:t>商智文化事业股份有限公司 出版图书：https://www.jiaokey.com/tag/商智文化事业股份有限公司.html</w:t>
      </w:r>
    </w:p>
    <w:p>
      <w:r>
        <w:t>关键词搜索：https://www.jiaokey.com/tag/风格美感经济学.html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