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  1893-1988  的文化观  根据《东西文化及其哲学》与《中国文化要义》解说</w:t>
      </w:r>
    </w:p>
    <w:p>
      <w:r>
        <w:rPr>
          <w:rFonts w:ascii="宋体" w:hAnsi="宋体" w:eastAsia="宋体"/>
          <w:sz w:val="24"/>
        </w:rPr>
        <w:t>魏思齐著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  1893-1988  的文化观  根据《东西文化及其哲学》与《中国文化要义》解说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魏思齐著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本书出售、求购地址：https://www.jiaokey.com/book/detail/13034483.html</w:t>
      </w:r>
    </w:p>
    <w:p>
      <w:r>
        <w:t>更多相关图书推荐：https://www.jiaokey.com</w:t>
      </w:r>
    </w:p>
    <w:p>
      <w:r>
        <w:t>魏思齐著 其他作品：https://www.jiaokey.com/tag/魏思齐著.html</w:t>
      </w:r>
    </w:p>
    <w:p>
      <w:r>
        <w:t>台湾：辅仁大学出版社 出版图书：https://www.jiaokey.com/tag/台湾：辅仁大学出版社.html</w:t>
      </w:r>
    </w:p>
    <w:p>
      <w:r>
        <w:t>关键词搜索：https://www.jiaokey.com/tag/梁漱溟  1893-1988  的文化观  根据《东西文化及其哲学》与《中国文化要义》解说.html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