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IT治理  标准、框架与案例分析</w:t>
      </w:r>
    </w:p>
    <w:p>
      <w:r>
        <w:rPr>
          <w:rFonts w:ascii="宋体" w:hAnsi="宋体" w:eastAsia="宋体"/>
          <w:sz w:val="24"/>
        </w:rPr>
        <w:t>郝晓玲，孙强，孟秀转，于秀艳著；ITGOV中国IT治理研究中心审校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IT治理  标准、框架与案例分析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郝晓玲，孙强，孟秀转，于秀艳著；ITGOV中国IT治理研究中心审校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本书出售、求购地址：https://www.jiaokey.com/book/detail/13030723.html</w:t>
      </w:r>
    </w:p>
    <w:p>
      <w:r>
        <w:t>更多相关图书推荐：https://www.jiaokey.com</w:t>
      </w:r>
    </w:p>
    <w:p>
      <w:r>
        <w:t>郝晓玲，孙强，孟秀转，于秀艳著；ITGOV中国IT治理研究中心审校 其他作品：https://www.jiaokey.com/tag/郝晓玲，孙强，孟秀转，于秀艳著；ITGOV中国IT治理研究中心审校.html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关键词搜索：https://www.jiaokey.com/tag/IT治理  标准、框架与案例分析.html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