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眼科疾病临床诊断与治疗方案</w:t>
      </w:r>
    </w:p>
    <w:p>
      <w:r>
        <w:rPr>
          <w:rFonts w:ascii="宋体" w:hAnsi="宋体" w:eastAsia="宋体"/>
          <w:sz w:val="24"/>
        </w:rPr>
        <w:t>廖瑞端，骆荣江主编；陈雪梅，霍丽君，黄静文副主编；苏毅化秘书；甘世斌，陈雪梅，洪俊等编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眼科疾病临床诊断与治疗方案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廖瑞端，骆荣江主编；陈雪梅，霍丽君，黄静文副主编；苏毅化秘书；甘世斌，陈雪梅，洪俊等编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本书出售、求购地址：https://www.jiaokey.com/book/detail/13030396.html</w:t>
      </w:r>
    </w:p>
    <w:p>
      <w:r>
        <w:t>更多相关图书推荐：https://www.jiaokey.com</w:t>
      </w:r>
    </w:p>
    <w:p>
      <w:r>
        <w:t>廖瑞端，骆荣江主编；陈雪梅，霍丽君，黄静文副主编；苏毅化秘书；甘世斌，陈雪梅，洪俊等编 其他作品：https://www.jiaokey.com/tag/廖瑞端，骆荣江主编；陈雪梅，霍丽君，黄静文副主编；苏毅化秘书；甘世斌，陈雪梅，洪俊等编.html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关键词搜索：https://www.jiaokey.com/tag/眼科疾病临床诊断与治疗方案.html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