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统筹城乡就业  促进东北二元结构转换</w:t>
      </w:r>
    </w:p>
    <w:p>
      <w:r>
        <w:rPr>
          <w:rFonts w:ascii="宋体" w:hAnsi="宋体" w:eastAsia="宋体"/>
          <w:sz w:val="24"/>
        </w:rPr>
        <w:t>张桂文，李刚等著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统筹城乡就业  促进东北二元结构转换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张桂文，李刚等著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本书出售、求购地址：https://www.jiaokey.com/book/detail/13027890.html</w:t>
      </w:r>
    </w:p>
    <w:p>
      <w:r>
        <w:t>更多相关图书推荐：https://www.jiaokey.com</w:t>
      </w:r>
    </w:p>
    <w:p>
      <w:r>
        <w:t>张桂文，李刚等著 其他作品：https://www.jiaokey.com/tag/张桂文，李刚等著.html</w:t>
      </w:r>
    </w:p>
    <w:p>
      <w:r>
        <w:t>经济科学出版社 出版图书：https://www.jiaokey.com/tag/经济科学出版社.html</w:t>
      </w:r>
    </w:p>
    <w:p>
      <w:r>
        <w:t>关键词搜索：https://www.jiaokey.com/tag/统筹城乡就业  促进东北二元结构转换.html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