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当代中国政治制度</w:t>
      </w:r>
    </w:p>
    <w:p>
      <w:r>
        <w:rPr>
          <w:rFonts w:ascii="宋体" w:hAnsi="宋体" w:eastAsia="宋体"/>
          <w:sz w:val="24"/>
        </w:rPr>
        <w:t>刘颖，戚兴元主编；李媛媛，鲍芳修，李默海副主编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刘颖，戚兴元主编；李媛媛，鲍芳修，李默海副主编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本书出售、求购地址：https://www.jiaokey.com/book/detail/13026889.html</w:t>
      </w:r>
    </w:p>
    <w:p>
      <w:r>
        <w:t>更多相关图书推荐：https://www.jiaokey.com</w:t>
      </w:r>
    </w:p>
    <w:p>
      <w:r>
        <w:t>刘颖，戚兴元主编；李媛媛，鲍芳修，李默海副主编 其他作品：https://www.jiaokey.com/tag/刘颖，戚兴元主编；李媛媛，鲍芳修，李默海副主编.html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关键词搜索：https://www.jiaokey.com/tag/当代中国政治制度.html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