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汽车运行材料</w:t>
      </w:r>
    </w:p>
    <w:p>
      <w:r>
        <w:rPr>
          <w:rFonts w:ascii="宋体" w:hAnsi="宋体" w:eastAsia="宋体"/>
          <w:sz w:val="24"/>
        </w:rPr>
        <w:t>戴汝泉主编；郝晨声副主编；赵长利，郁大同等参编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戴汝泉主编；郝晨声副主编；赵长利，郁大同等参编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本书出售、求购地址：https://www.jiaokey.com/book/detail/13026758.html</w:t>
      </w:r>
    </w:p>
    <w:p>
      <w:r>
        <w:t>更多相关图书推荐：https://www.jiaokey.com</w:t>
      </w:r>
    </w:p>
    <w:p>
      <w:r>
        <w:t>戴汝泉主编；郝晨声副主编；赵长利，郁大同等参编 其他作品：https://www.jiaokey.com/tag/戴汝泉主编；郝晨声副主编；赵长利，郁大同等参编.html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关键词搜索：https://www.jiaokey.com/tag/汽车运行材料.html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