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第四十一个</w:t>
      </w:r>
    </w:p>
    <w:p>
      <w:r>
        <w:rPr>
          <w:rFonts w:ascii="宋体" w:hAnsi="宋体" w:eastAsia="宋体"/>
          <w:sz w:val="24"/>
        </w:rPr>
        <w:t>（苏）拉夫列尼约夫（Б.Лавренев）著；曹靖华，刘开华译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（苏）拉夫列尼约夫（Б.Лавренев）著；曹靖华，刘开华译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本书出售、求购地址：https://www.jiaokey.com/book/detail/13025303.html</w:t>
      </w:r>
    </w:p>
    <w:p>
      <w:r>
        <w:t>更多相关图书推荐：https://www.jiaokey.com</w:t>
      </w:r>
    </w:p>
    <w:p>
      <w:r>
        <w:t>（苏）拉夫列尼约夫（Б.Лавренев）著；曹靖华，刘开华译 其他作品：https://www.jiaokey.com/tag/（苏）拉夫列尼约夫（Б.Лавренев）著；曹靖华，刘开华译.html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关键词搜索：https://www.jiaokey.com/tag/第四十一个.html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