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凤凰涅盘  新疆民营经济的抉择</w:t>
      </w:r>
    </w:p>
    <w:p>
      <w:r>
        <w:rPr>
          <w:rFonts w:ascii="宋体" w:hAnsi="宋体" w:eastAsia="宋体"/>
          <w:sz w:val="24"/>
        </w:rPr>
        <w:t>唐立久，罗斌著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凤凰涅盘  新疆民营经济的抉择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唐立久，罗斌著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本书出售、求购地址：https://www.jiaokey.com/book/detail/13025028.html</w:t>
      </w:r>
    </w:p>
    <w:p>
      <w:r>
        <w:t>更多相关图书推荐：https://www.jiaokey.com</w:t>
      </w:r>
    </w:p>
    <w:p>
      <w:r>
        <w:t>唐立久，罗斌著 其他作品：https://www.jiaokey.com/tag/唐立久，罗斌著.html</w:t>
      </w:r>
    </w:p>
    <w:p>
      <w:r>
        <w:t>新疆电子出版社 出版图书：https://www.jiaokey.com/tag/新疆电子出版社.html</w:t>
      </w:r>
    </w:p>
    <w:p>
      <w:r>
        <w:t>关键词搜索：https://www.jiaokey.com/tag/凤凰涅盘  新疆民营经济的抉择.html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