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学运春秋：香港学生运动</w:t>
      </w:r>
    </w:p>
    <w:p>
      <w:r>
        <w:rPr>
          <w:rFonts w:ascii="宋体" w:hAnsi="宋体" w:eastAsia="宋体"/>
          <w:sz w:val="24"/>
        </w:rPr>
        <w:t>远东事务评论社·香港问题小组编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学运春秋：香港学生运动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远东事务评论社·香港问题小组编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远东事务评论社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本书出售、求购地址：https://www.jiaokey.com/book/detail/13023517.html</w:t>
      </w:r>
    </w:p>
    <w:p>
      <w:r>
        <w:t>更多相关图书推荐：https://www.jiaokey.com</w:t>
      </w:r>
    </w:p>
    <w:p>
      <w:r>
        <w:t>远东事务评论社·香港问题小组编 其他作品：https://www.jiaokey.com/tag/远东事务评论社·香港问题小组编.html</w:t>
      </w:r>
    </w:p>
    <w:p>
      <w:r>
        <w:t>远东事务评论社 出版图书：https://www.jiaokey.com/tag/远东事务评论社.html</w:t>
      </w:r>
    </w:p>
    <w:p>
      <w:r>
        <w:t>关键词搜索：https://www.jiaokey.com/tag/学运春秋：香港学生运动.html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