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精省与新地方制度  始末·设计·发展系论</w:t>
      </w:r>
    </w:p>
    <w:p>
      <w:r>
        <w:rPr>
          <w:rFonts w:ascii="宋体" w:hAnsi="宋体" w:eastAsia="宋体"/>
          <w:sz w:val="24"/>
        </w:rPr>
        <w:t>纪俊臣著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精省与新地方制度  始末·设计·发展系论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本书出售、求购地址：https://www.jiaokey.com/book/detail/13020993.html</w:t>
      </w:r>
    </w:p>
    <w:p>
      <w:r>
        <w:t>更多相关图书推荐：https://www.jiaokey.com</w:t>
      </w:r>
    </w:p>
    <w:p>
      <w:r>
        <w:t>纪俊臣著 其他作品：https://www.jiaokey.com/tag/纪俊臣著.html</w:t>
      </w:r>
    </w:p>
    <w:p>
      <w:r>
        <w:t>时英出版社 出版图书：https://www.jiaokey.com/tag/时英出版社.html</w:t>
      </w:r>
    </w:p>
    <w:p>
      <w:r>
        <w:t>关键词搜索：https://www.jiaokey.com/tag/精省与新地方制度  始末·设计·发展系论.html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