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如何开创四十岁以后的命运</w:t>
      </w:r>
    </w:p>
    <w:p>
      <w:r>
        <w:rPr>
          <w:rFonts w:ascii="宋体" w:hAnsi="宋体" w:eastAsia="宋体"/>
          <w:sz w:val="24"/>
        </w:rPr>
        <w:t>布尔姆黎著；龚慧治译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如何开创四十岁以后的命运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布尔姆黎著；龚慧治译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本书出售、求购地址：https://www.jiaokey.com/book/detail/13020941.html</w:t>
      </w:r>
    </w:p>
    <w:p>
      <w:r>
        <w:t>更多相关图书推荐：https://www.jiaokey.com</w:t>
      </w:r>
    </w:p>
    <w:p>
      <w:r>
        <w:t>布尔姆黎著；龚慧治译 其他作品：https://www.jiaokey.com/tag/布尔姆黎著；龚慧治译.html</w:t>
      </w:r>
    </w:p>
    <w:p>
      <w:r>
        <w:t>百杰出版社 出版图书：https://www.jiaokey.com/tag/百杰出版社.html</w:t>
      </w:r>
    </w:p>
    <w:p>
      <w:r>
        <w:t>关键词搜索：https://www.jiaokey.com/tag/如何开创四十岁以后的命运.html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