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水资源环境规划、管理与开发  中</w:t>
      </w:r>
    </w:p>
    <w:p>
      <w:r>
        <w:rPr>
          <w:rFonts w:ascii="宋体" w:hAnsi="宋体" w:eastAsia="宋体"/>
          <w:sz w:val="24"/>
        </w:rPr>
        <w:t>（加）Asit K.Biswas等著；黄家文；徐成剑，刘晓凌等译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水资源环境规划、管理与开发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（加）Asit K.Biswas等著；黄家文；徐成剑，刘晓凌等译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本书出售、求购地址：https://www.jiaokey.com/book/detail/13020688.html</w:t>
      </w:r>
    </w:p>
    <w:p>
      <w:r>
        <w:t>更多相关图书推荐：https://www.jiaokey.com</w:t>
      </w:r>
    </w:p>
    <w:p>
      <w:r>
        <w:t>（加）Asit K.Biswas等著；黄家文；徐成剑，刘晓凌等译 其他作品：https://www.jiaokey.com/tag/（加）Asit K.Biswas等著；黄家文；徐成剑，刘晓凌等译.html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关键词搜索：https://www.jiaokey.com/tag/水资源环境规划、管理与开发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