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鹰设色技法</w:t>
      </w:r>
    </w:p>
    <w:p>
      <w:r>
        <w:rPr>
          <w:rFonts w:ascii="宋体" w:hAnsi="宋体" w:eastAsia="宋体"/>
          <w:sz w:val="24"/>
        </w:rPr>
        <w:t>刘福泽编绘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0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鹰设色技法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刘福泽编绘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天津:天津杨柳青画社,2011.09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鹰科:翎毛走兽画-国画技法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本书出售、求购地址：https://www.jiaokey.com/book/detail/13020485.html</w:t>
      </w:r>
    </w:p>
    <w:p>
      <w:r>
        <w:t>更多相关图书推荐：https://www.jiaokey.com</w:t>
      </w:r>
    </w:p>
    <w:p>
      <w:r>
        <w:t>刘福泽编绘 其他作品：https://www.jiaokey.com/tag/刘福泽编绘.html</w:t>
      </w:r>
    </w:p>
    <w:p>
      <w:r>
        <w:t>天津:天津杨柳青画社,2011.09 出版图书：https://www.jiaokey.com/tag/天津:天津杨柳青画社,2011.09.html</w:t>
      </w:r>
    </w:p>
    <w:p>
      <w:r>
        <w:t>关键词搜索：https://www.jiaokey.com/tag/鹰科:翎毛走兽画-国画技法.html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