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康德知识论要义新编</w:t>
      </w:r>
    </w:p>
    <w:p>
      <w:r>
        <w:rPr>
          <w:rFonts w:ascii="宋体" w:hAnsi="宋体" w:eastAsia="宋体"/>
          <w:sz w:val="24"/>
        </w:rPr>
        <w:t>劳思光著；关子尹编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康德知识论要义新编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劳思光著；关子尹编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中文大学出版社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本书出售、求购地址：https://www.jiaokey.com/book/detail/13019040.html</w:t>
      </w:r>
    </w:p>
    <w:p>
      <w:r>
        <w:t>更多相关图书推荐：https://www.jiaokey.com</w:t>
      </w:r>
    </w:p>
    <w:p>
      <w:r>
        <w:t>劳思光著；关子尹编 其他作品：https://www.jiaokey.com/tag/劳思光著；关子尹编.html</w:t>
      </w:r>
    </w:p>
    <w:p>
      <w:r>
        <w:t>中文大学出版社 出版图书：https://www.jiaokey.com/tag/中文大学出版社.html</w:t>
      </w:r>
    </w:p>
    <w:p>
      <w:r>
        <w:t>关键词搜索：https://www.jiaokey.com/tag/康德知识论要义新编.html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