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番头家  清代台湾族群政治与熟番地权</w:t>
      </w:r>
    </w:p>
    <w:p>
      <w:r>
        <w:rPr>
          <w:rFonts w:ascii="宋体" w:hAnsi="宋体" w:eastAsia="宋体"/>
          <w:sz w:val="24"/>
        </w:rPr>
        <w:t>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番头家  清代台湾族群政治与熟番地权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中央研究院社会学研究所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本书出售、求购地址：https://www.jiaokey.com/book/detail/13018998.html</w:t>
      </w:r>
    </w:p>
    <w:p>
      <w:r>
        <w:t>更多相关图书推荐：https://www.jiaokey.com</w:t>
      </w:r>
    </w:p>
    <w:p>
      <w:r>
        <w:t>柯志明著 其他作品：https://www.jiaokey.com/tag/柯志明著.html</w:t>
      </w:r>
    </w:p>
    <w:p>
      <w:r>
        <w:t>中央研究院社会学研究所 出版图书：https://www.jiaokey.com/tag/中央研究院社会学研究所.html</w:t>
      </w:r>
    </w:p>
    <w:p>
      <w:r>
        <w:t>关键词搜索：https://www.jiaokey.com/tag/番头家  清代台湾族群政治与熟番地权.html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