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自高龄者饮食消费习性看银发族食品发展机会</w:t>
      </w:r>
    </w:p>
    <w:p>
      <w:r>
        <w:rPr>
          <w:rFonts w:ascii="宋体" w:hAnsi="宋体" w:eastAsia="宋体"/>
          <w:sz w:val="24"/>
        </w:rPr>
        <w:t>王素梅，黄秋香，李河水著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自高龄者饮食消费习性看银发族食品发展机会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王素梅，黄秋香，李河水著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行政院农业委员会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本书出售、求购地址：https://www.jiaokey.com/book/detail/13018988.html</w:t>
      </w:r>
    </w:p>
    <w:p>
      <w:r>
        <w:t>更多相关图书推荐：https://www.jiaokey.com</w:t>
      </w:r>
    </w:p>
    <w:p>
      <w:r>
        <w:t>王素梅，黄秋香，李河水著 其他作品：https://www.jiaokey.com/tag/王素梅，黄秋香，李河水著.html</w:t>
      </w:r>
    </w:p>
    <w:p>
      <w:r>
        <w:t>行政院农业委员会 出版图书：https://www.jiaokey.com/tag/行政院农业委员会.html</w:t>
      </w:r>
    </w:p>
    <w:p>
      <w:r>
        <w:t>关键词搜索：https://www.jiaokey.com/tag/自高龄者饮食消费习性看银发族食品发展机会.html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