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后现代政治状况</w:t>
      </w:r>
    </w:p>
    <w:p>
      <w:r>
        <w:rPr>
          <w:rFonts w:ascii="宋体" w:hAnsi="宋体" w:eastAsia="宋体"/>
          <w:sz w:val="24"/>
        </w:rPr>
        <w:t>（匈）阿格妮丝·赫勒，（匈）费伦茨·费赫尔著；王海洋译；陈喜贵校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后现代政治状况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（匈）阿格妮丝·赫勒，（匈）费伦茨·费赫尔著；王海洋译；陈喜贵校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本书出售、求购地址：https://www.jiaokey.com/book/detail/13017090.html</w:t>
      </w:r>
    </w:p>
    <w:p>
      <w:r>
        <w:t>更多相关图书推荐：https://www.jiaokey.com</w:t>
      </w:r>
    </w:p>
    <w:p>
      <w:r>
        <w:t>（匈）阿格妮丝·赫勒，（匈）费伦茨·费赫尔著；王海洋译；陈喜贵校 其他作品：https://www.jiaokey.com/tag/（匈）阿格妮丝·赫勒，（匈）费伦茨·费赫尔著；王海洋译；陈喜贵校.html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关键词搜索：https://www.jiaokey.com/tag/后现代政治状况.html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