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如何激发灵感</w:t>
      </w:r>
    </w:p>
    <w:p>
      <w:r>
        <w:rPr>
          <w:rFonts w:ascii="宋体" w:hAnsi="宋体" w:eastAsia="宋体"/>
          <w:sz w:val="24"/>
        </w:rPr>
        <w:t>汤尼·布桑，乔伊丝·威克芙著；王明华译；黄素妮等编辑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汤尼·布桑，乔伊丝·威克芙著；王明华译；黄素妮等编辑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本书出售、求购地址：https://www.jiaokey.com/book/detail/13016007.html</w:t>
      </w:r>
    </w:p>
    <w:p>
      <w:r>
        <w:t>更多相关图书推荐：https://www.jiaokey.com</w:t>
      </w:r>
    </w:p>
    <w:p>
      <w:r>
        <w:t>汤尼·布桑，乔伊丝·威克芙著；王明华译；黄素妮等编辑 其他作品：https://www.jiaokey.com/tag/汤尼·布桑，乔伊丝·威克芙著；王明华译；黄素妮等编辑.html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关键词搜索：https://www.jiaokey.com/tag/如何激发灵感.html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