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如何享受老年</w:t>
      </w:r>
    </w:p>
    <w:p>
      <w:r>
        <w:rPr>
          <w:rFonts w:ascii="宋体" w:hAnsi="宋体" w:eastAsia="宋体"/>
          <w:sz w:val="24"/>
        </w:rPr>
        <w:t>B.F.斯金纳，M.E.芙韩著；全映玉译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如何享受老年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B.F.斯金纳，M.E.芙韩著；全映玉译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本书出售、求购地址：https://www.jiaokey.com/book/detail/13015925.html</w:t>
      </w:r>
    </w:p>
    <w:p>
      <w:r>
        <w:t>更多相关图书推荐：https://www.jiaokey.com</w:t>
      </w:r>
    </w:p>
    <w:p>
      <w:r>
        <w:t>B.F.斯金纳，M.E.芙韩著；全映玉译 其他作品：https://www.jiaokey.com/tag/B.F.斯金纳，M.E.芙韩著；全映玉译.html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关键词搜索：https://www.jiaokey.com/tag/如何享受老年.html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