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</w:t>
      </w:r>
    </w:p>
    <w:p>
      <w:r>
        <w:rPr>
          <w:rFonts w:ascii="宋体" w:hAnsi="宋体" w:eastAsia="宋体"/>
          <w:sz w:val="24"/>
        </w:rPr>
        <w:t>宣玲玲主编；李艳琴，刘亚副主编；孙秋高主审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宣玲玲主编；李艳琴，刘亚副主编；孙秋高主审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本书出售、求购地址：https://www.jiaokey.com/book/detail/13015779.html</w:t>
      </w:r>
    </w:p>
    <w:p>
      <w:r>
        <w:t>更多相关图书推荐：https://www.jiaokey.com</w:t>
      </w:r>
    </w:p>
    <w:p>
      <w:r>
        <w:t>宣玲玲主编；李艳琴，刘亚副主编；孙秋高主审 其他作品：https://www.jiaokey.com/tag/宣玲玲主编；李艳琴，刘亚副主编；孙秋高主审.html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关键词搜索：https://www.jiaokey.com/tag/国际货运代理实务.html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