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最新日本语能力测试应对策略  N2  文字/词汇·语法</w:t>
      </w:r>
    </w:p>
    <w:p>
      <w:r>
        <w:rPr>
          <w:rFonts w:ascii="宋体" w:hAnsi="宋体" w:eastAsia="宋体"/>
          <w:sz w:val="24"/>
        </w:rPr>
        <w:t>（韩）李长雨著；朴艺丹译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最新日本语能力测试应对策略  N2  文字/词汇·语法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（韩）李长雨著；朴艺丹译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本书出售、求购地址：https://www.jiaokey.com/book/detail/13015290.html</w:t>
      </w:r>
    </w:p>
    <w:p>
      <w:r>
        <w:t>更多相关图书推荐：https://www.jiaokey.com</w:t>
      </w:r>
    </w:p>
    <w:p>
      <w:r>
        <w:t>（韩）李长雨著；朴艺丹译 其他作品：https://www.jiaokey.com/tag/（韩）李长雨著；朴艺丹译.html</w:t>
      </w:r>
    </w:p>
    <w:p>
      <w:r>
        <w:t>北京大学出版社 出版图书：https://www.jiaokey.com/tag/北京大学出版社.html</w:t>
      </w:r>
    </w:p>
    <w:p>
      <w:r>
        <w:t>关键词搜索：https://www.jiaokey.com/tag/最新日本语能力测试应对策略  N2  文字/词汇·语法.html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