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香港回归历程三十小时</w:t>
      </w:r>
    </w:p>
    <w:p>
      <w:r>
        <w:rPr>
          <w:rFonts w:ascii="宋体" w:hAnsi="宋体" w:eastAsia="宋体"/>
          <w:sz w:val="24"/>
        </w:rPr>
        <w:t>许百坚，翁秀珊编辑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香港回归历程三十小时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许百坚，翁秀珊编辑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香港商报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本书出售、求购地址：https://www.jiaokey.com/book/detail/13015222.html</w:t>
      </w:r>
    </w:p>
    <w:p>
      <w:r>
        <w:t>更多相关图书推荐：https://www.jiaokey.com</w:t>
      </w:r>
    </w:p>
    <w:p>
      <w:r>
        <w:t>许百坚，翁秀珊编辑 其他作品：https://www.jiaokey.com/tag/许百坚，翁秀珊编辑.html</w:t>
      </w:r>
    </w:p>
    <w:p>
      <w:r>
        <w:t>香港商报 出版图书：https://www.jiaokey.com/tag/香港商报.html</w:t>
      </w:r>
    </w:p>
    <w:p>
      <w:r>
        <w:t>关键词搜索：https://www.jiaokey.com/tag/香港回归历程三十小时.html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