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憨山大师法语</w:t>
      </w:r>
    </w:p>
    <w:p>
      <w:r>
        <w:rPr>
          <w:rFonts w:ascii="宋体" w:hAnsi="宋体" w:eastAsia="宋体"/>
          <w:sz w:val="24"/>
        </w:rPr>
        <w:t>侍者福善日录；门人通炯编辑；岭南弟子刘起相重校；民国释净空选辑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侍者福善日录；门人通炯编辑；岭南弟子刘起相重校；民国释净空选辑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本书出售、求购地址：https://www.jiaokey.com/book/detail/13012904.html</w:t>
      </w:r>
    </w:p>
    <w:p>
      <w:r>
        <w:t>更多相关图书推荐：https://www.jiaokey.com</w:t>
      </w:r>
    </w:p>
    <w:p>
      <w:r>
        <w:t>侍者福善日录；门人通炯编辑；岭南弟子刘起相重校；民国释净空选辑 其他作品：https://www.jiaokey.com/tag/侍者福善日录；门人通炯编辑；岭南弟子刘起相重校；民国释净空选辑.html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关键词搜索：https://www.jiaokey.com/tag/憨山大师法语.html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