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2008数据库案例教程</w:t>
      </w:r>
    </w:p>
    <w:p>
      <w:r>
        <w:rPr>
          <w:rFonts w:ascii="宋体" w:hAnsi="宋体" w:eastAsia="宋体"/>
          <w:sz w:val="24"/>
        </w:rPr>
        <w:t>李锡辉主编；朱清妍，杨丽，彭顺生，文永胜编著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李锡辉主编；朱清妍，杨丽，彭顺生，文永胜编著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本书出售、求购地址：https://www.jiaokey.com/book/detail/13012345.html</w:t>
      </w:r>
    </w:p>
    <w:p>
      <w:r>
        <w:t>更多相关图书推荐：https://www.jiaokey.com</w:t>
      </w:r>
    </w:p>
    <w:p>
      <w:r>
        <w:t>李锡辉主编；朱清妍，杨丽，彭顺生，文永胜编著 其他作品：https://www.jiaokey.com/tag/李锡辉主编；朱清妍，杨丽，彭顺生，文永胜编著.html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