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大规模职业定制  适应非传统劳动者的全新人事制度</w:t>
      </w:r>
    </w:p>
    <w:p>
      <w:r>
        <w:rPr>
          <w:rFonts w:ascii="宋体" w:hAnsi="宋体" w:eastAsia="宋体"/>
          <w:sz w:val="24"/>
        </w:rPr>
        <w:t>（美）凯瑟琳·本科，（美）安妮·韦斯伯格著；钱谊译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大规模职业定制  适应非传统劳动者的全新人事制度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（美）凯瑟琳·本科，（美）安妮·韦斯伯格著；钱谊译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本书出售、求购地址：https://www.jiaokey.com/book/detail/13011965.html</w:t>
      </w:r>
    </w:p>
    <w:p>
      <w:r>
        <w:t>更多相关图书推荐：https://www.jiaokey.com</w:t>
      </w:r>
    </w:p>
    <w:p>
      <w:r>
        <w:t>（美）凯瑟琳·本科，（美）安妮·韦斯伯格著；钱谊译 其他作品：https://www.jiaokey.com/tag/（美）凯瑟琳·本科，（美）安妮·韦斯伯格著；钱谊译.html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关键词搜索：https://www.jiaokey.com/tag/大规模职业定制  适应非传统劳动者的全新人事制度.html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