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新型拖拉机构造、使用、调整一点通</w:t>
      </w:r>
    </w:p>
    <w:p>
      <w:r>
        <w:rPr>
          <w:rFonts w:ascii="宋体" w:hAnsi="宋体" w:eastAsia="宋体"/>
          <w:sz w:val="24"/>
        </w:rPr>
        <w:t>惠东杰主编；李祥付，侯松叶副主编；李岱峰，吴万立，王俊芳等参编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新型拖拉机构造、使用、调整一点通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惠东杰主编；李祥付，侯松叶副主编；李岱峰，吴万立，王俊芳等参编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本书出售、求购地址：https://www.jiaokey.com/book/detail/13011554.html</w:t>
      </w:r>
    </w:p>
    <w:p>
      <w:r>
        <w:t>更多相关图书推荐：https://www.jiaokey.com</w:t>
      </w:r>
    </w:p>
    <w:p>
      <w:r>
        <w:t>惠东杰主编；李祥付，侯松叶副主编；李岱峰，吴万立，王俊芳等参编 其他作品：https://www.jiaokey.com/tag/惠东杰主编；李祥付，侯松叶副主编；李岱峰，吴万立，王俊芳等参编.html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关键词搜索：https://www.jiaokey.com/tag/新型拖拉机构造、使用、调整一点通.html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