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ASP动态网页设计能力教程  第2版</w:t>
      </w:r>
    </w:p>
    <w:p>
      <w:r>
        <w:rPr>
          <w:rFonts w:ascii="宋体" w:hAnsi="宋体" w:eastAsia="宋体"/>
          <w:sz w:val="24"/>
        </w:rPr>
        <w:t>李玉虹，王磊主编；王振明，张福峰，王维畅等副主编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ASP动态网页设计能力教程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李玉虹，王磊主编；王振明，张福峰，王维畅等副主编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本书出售、求购地址：https://www.jiaokey.com/book/detail/13010851.html</w:t>
      </w:r>
    </w:p>
    <w:p>
      <w:r>
        <w:t>更多相关图书推荐：https://www.jiaokey.com</w:t>
      </w:r>
    </w:p>
    <w:p>
      <w:r>
        <w:t>李玉虹，王磊主编；王振明，张福峰，王维畅等副主编 其他作品：https://www.jiaokey.com/tag/李玉虹，王磊主编；王振明，张福峰，王维畅等副主编.html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关键词搜索：https://www.jiaokey.com/tag/ASP动态网页设计能力教程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