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食品安全风险交流方法  以信息为中心</w:t>
      </w:r>
    </w:p>
    <w:p>
      <w:r>
        <w:rPr>
          <w:rFonts w:ascii="宋体" w:hAnsi="宋体" w:eastAsia="宋体"/>
          <w:sz w:val="24"/>
        </w:rPr>
        <w:t>（美）T.L.塞尔瑙，（美）R.R.乌尔默，M.W.西格，R.S.利特菲尔德编；李强等译；刘文审校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食品安全风险交流方法  以信息为中心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（美）T.L.塞尔瑙，（美）R.R.乌尔默，M.W.西格，R.S.利特菲尔德编；李强等译；刘文审校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本书出售、求购地址：https://www.jiaokey.com/book/detail/13010322.html</w:t>
      </w:r>
    </w:p>
    <w:p>
      <w:r>
        <w:t>更多相关图书推荐：https://www.jiaokey.com</w:t>
      </w:r>
    </w:p>
    <w:p>
      <w:r>
        <w:t>（美）T.L.塞尔瑙，（美）R.R.乌尔默，M.W.西格，R.S.利特菲尔德编；李强等译；刘文审校 其他作品：https://www.jiaokey.com/tag/（美）T.L.塞尔瑙，（美）R.R.乌尔默，M.W.西格，R.S.利特菲尔德编；李强等译；刘文审校.html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关键词搜索：https://www.jiaokey.com/tag/食品安全风险交流方法  以信息为中心.html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