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巨刺与缪刺疗法</w:t>
      </w:r>
    </w:p>
    <w:p>
      <w:r>
        <w:rPr>
          <w:rFonts w:ascii="宋体" w:hAnsi="宋体" w:eastAsia="宋体"/>
          <w:sz w:val="24"/>
        </w:rPr>
        <w:t>黄伯灵，耿霞主编；周建宏，庞俊，赵小寅副主编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巨刺与缪刺疗法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黄伯灵，耿霞主编；周建宏，庞俊，赵小寅副主编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本书出售、求购地址：https://www.jiaokey.com/book/detail/13010011.html</w:t>
      </w:r>
    </w:p>
    <w:p>
      <w:r>
        <w:t>更多相关图书推荐：https://www.jiaokey.com</w:t>
      </w:r>
    </w:p>
    <w:p>
      <w:r>
        <w:t>黄伯灵，耿霞主编；周建宏，庞俊，赵小寅副主编 其他作品：https://www.jiaokey.com/tag/黄伯灵，耿霞主编；周建宏，庞俊，赵小寅副主编.html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关键词搜索：https://www.jiaokey.com/tag/巨刺与缪刺疗法.html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