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肿瘤辨证施治策略与案例</w:t>
      </w:r>
    </w:p>
    <w:p>
      <w:r>
        <w:rPr>
          <w:rFonts w:ascii="宋体" w:hAnsi="宋体" w:eastAsia="宋体"/>
          <w:sz w:val="24"/>
        </w:rPr>
        <w:t>马纯政，杨亚琴主编；刘培民，杜炜玮，周世繁等副主编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肿瘤辨证施治策略与案例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马纯政，杨亚琴主编；刘培民，杜炜玮，周世繁等副主编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本书出售、求购地址：https://www.jiaokey.com/book/detail/13007957.html</w:t>
      </w:r>
    </w:p>
    <w:p>
      <w:r>
        <w:t>更多相关图书推荐：https://www.jiaokey.com</w:t>
      </w:r>
    </w:p>
    <w:p>
      <w:r>
        <w:t>马纯政，杨亚琴主编；刘培民，杜炜玮，周世繁等副主编 其他作品：https://www.jiaokey.com/tag/马纯政，杨亚琴主编；刘培民，杜炜玮，周世繁等副主编.html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关键词搜索：https://www.jiaokey.com/tag/肿瘤辨证施治策略与案例.html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