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千帆并举  社会工作小组新貌</w:t>
      </w:r>
    </w:p>
    <w:p>
      <w:r>
        <w:rPr>
          <w:rFonts w:ascii="宋体" w:hAnsi="宋体" w:eastAsia="宋体"/>
          <w:sz w:val="24"/>
        </w:rPr>
        <w:t>梁玉麒，游达裕，区结莲，张敏思编著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千帆并举  社会工作小组新貌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梁玉麒，游达裕，区结莲，张敏思编著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策马文创有限公司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本书出售、求购地址：https://www.jiaokey.com/book/detail/13006324.html</w:t>
      </w:r>
    </w:p>
    <w:p>
      <w:r>
        <w:t>更多相关图书推荐：https://www.jiaokey.com</w:t>
      </w:r>
    </w:p>
    <w:p>
      <w:r>
        <w:t>梁玉麒，游达裕，区结莲，张敏思编著 其他作品：https://www.jiaokey.com/tag/梁玉麒，游达裕，区结莲，张敏思编著.html</w:t>
      </w:r>
    </w:p>
    <w:p>
      <w:r>
        <w:t>策马文创有限公司 出版图书：https://www.jiaokey.com/tag/策马文创有限公司.html</w:t>
      </w:r>
    </w:p>
    <w:p>
      <w:r>
        <w:t>关键词搜索：https://www.jiaokey.com/tag/千帆并举  社会工作小组新貌.html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