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司徒雷登调解国共冲突之理念与实践</w:t>
      </w:r>
    </w:p>
    <w:p>
      <w:r>
        <w:rPr>
          <w:rFonts w:ascii="宋体" w:hAnsi="宋体" w:eastAsia="宋体"/>
          <w:sz w:val="24"/>
        </w:rPr>
        <w:t>林立树著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司徒雷登调解国共冲突之理念与实践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本书出售、求购地址：https://www.jiaokey.com/book/detail/13005451.html</w:t>
      </w:r>
    </w:p>
    <w:p>
      <w:r>
        <w:t>更多相关图书推荐：https://www.jiaokey.com</w:t>
      </w:r>
    </w:p>
    <w:p>
      <w:r>
        <w:t>林立树著 其他作品：https://www.jiaokey.com/tag/林立树著.html</w:t>
      </w:r>
    </w:p>
    <w:p>
      <w:r>
        <w:t>稻乡出版社 出版图书：https://www.jiaokey.com/tag/稻乡出版社.html</w:t>
      </w:r>
    </w:p>
    <w:p>
      <w:r>
        <w:t>关键词搜索：https://www.jiaokey.com/tag/司徒雷登调解国共冲突之理念与实践.html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