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CEO策略智慧</w:t>
      </w:r>
    </w:p>
    <w:p>
      <w:r>
        <w:rPr>
          <w:rFonts w:ascii="宋体" w:hAnsi="宋体" w:eastAsia="宋体"/>
          <w:sz w:val="24"/>
        </w:rPr>
        <w:t>陈志辉，谢冠东编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CEO策略智慧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陈志辉，谢冠东编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商务印书馆（香港）有限公司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本书出售、求购地址：https://www.jiaokey.com/book/detail/13005319.html</w:t>
      </w:r>
    </w:p>
    <w:p>
      <w:r>
        <w:t>更多相关图书推荐：https://www.jiaokey.com</w:t>
      </w:r>
    </w:p>
    <w:p>
      <w:r>
        <w:t>陈志辉，谢冠东编 其他作品：https://www.jiaokey.com/tag/陈志辉，谢冠东编.html</w:t>
      </w:r>
    </w:p>
    <w:p>
      <w:r>
        <w:t>商务印书馆（香港）有限公司 出版图书：https://www.jiaokey.com/tag/商务印书馆（香港）有限公司.html</w:t>
      </w:r>
    </w:p>
    <w:p>
      <w:r>
        <w:t>关键词搜索：https://www.jiaokey.com/tag/CEO策略智慧.html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