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从政治外交层面看南锥秃鹰行动引发之人权争议-以智利皮诺契政权为例</w:t>
      </w:r>
    </w:p>
    <w:p>
      <w:r>
        <w:rPr>
          <w:rFonts w:ascii="宋体" w:hAnsi="宋体" w:eastAsia="宋体"/>
          <w:sz w:val="24"/>
        </w:rPr>
        <w:t>邱稔壤著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从政治外交层面看南锥秃鹰行动引发之人权争议-以智利皮诺契政权为例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邱稔壤著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本书出售、求购地址：https://www.jiaokey.com/book/detail/13002118.html</w:t>
      </w:r>
    </w:p>
    <w:p>
      <w:r>
        <w:t>更多相关图书推荐：https://www.jiaokey.com</w:t>
      </w:r>
    </w:p>
    <w:p>
      <w:r>
        <w:t>邱稔壤著 其他作品：https://www.jiaokey.com/tag/邱稔壤著.html</w:t>
      </w:r>
    </w:p>
    <w:p>
      <w:r>
        <w:t>印刻出版有限公司 出版图书：https://www.jiaokey.com/tag/印刻出版有限公司.html</w:t>
      </w:r>
    </w:p>
    <w:p>
      <w:r>
        <w:t>关键词搜索：https://www.jiaokey.com/tag/从政治外交层面看南锥秃鹰行动引发之人权争议-以智利皮诺契政权为例.html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