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知识经济与法律制度创新</w:t>
      </w:r>
    </w:p>
    <w:p>
      <w:r>
        <w:rPr>
          <w:rFonts w:ascii="宋体" w:hAnsi="宋体" w:eastAsia="宋体"/>
          <w:sz w:val="24"/>
        </w:rPr>
        <w:t>张文显，刘红臻，李晓辉，邹彩霞，于宁，饶明辉著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知识经济与法律制度创新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张文显，刘红臻，李晓辉，邹彩霞，于宁，饶明辉著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本书出售、求购地址：https://www.jiaokey.com/book/detail/13001743.html</w:t>
      </w:r>
    </w:p>
    <w:p>
      <w:r>
        <w:t>更多相关图书推荐：https://www.jiaokey.com</w:t>
      </w:r>
    </w:p>
    <w:p>
      <w:r>
        <w:t>张文显，刘红臻，李晓辉，邹彩霞，于宁，饶明辉著 其他作品：https://www.jiaokey.com/tag/张文显，刘红臻，李晓辉，邹彩霞，于宁，饶明辉著.html</w:t>
      </w:r>
    </w:p>
    <w:p>
      <w:r>
        <w:t>北京大学出版社 出版图书：https://www.jiaokey.com/tag/北京大学出版社.html</w:t>
      </w:r>
    </w:p>
    <w:p>
      <w:r>
        <w:t>关键词搜索：https://www.jiaokey.com/tag/知识经济与法律制度创新.html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