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阅读理解</w:t>
      </w:r>
    </w:p>
    <w:p>
      <w:r>
        <w:rPr>
          <w:rFonts w:ascii="宋体" w:hAnsi="宋体" w:eastAsia="宋体"/>
          <w:sz w:val="24"/>
        </w:rPr>
        <w:t>刘景田，贾庆文本册主编；朱爱霞，赵秀琴副主编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刘景田，贾庆文本册主编；朱爱霞，赵秀琴副主编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本书出售、求购地址：https://www.jiaokey.com/book/detail/13000113.html</w:t>
      </w:r>
    </w:p>
    <w:p>
      <w:r>
        <w:t>更多相关图书推荐：https://www.jiaokey.com</w:t>
      </w:r>
    </w:p>
    <w:p>
      <w:r>
        <w:t>刘景田，贾庆文本册主编；朱爱霞，赵秀琴副主编 其他作品：https://www.jiaokey.com/tag/刘景田，贾庆文本册主编；朱爱霞，赵秀琴副主编.html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