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TRIZ理论及机械创新实践</w:t>
      </w:r>
    </w:p>
    <w:p>
      <w:r>
        <w:rPr>
          <w:rFonts w:ascii="宋体" w:hAnsi="宋体" w:eastAsia="宋体"/>
          <w:sz w:val="24"/>
        </w:rPr>
        <w:t>沈萌红主编；张惠娣，黄方平，钱孝华参编；陈秀宁主审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TRIZ理论及机械创新实践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沈萌红主编；张惠娣，黄方平，钱孝华参编；陈秀宁主审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本书出售、求购地址：https://www.jiaokey.com/book/detail/12998293.html</w:t>
      </w:r>
    </w:p>
    <w:p>
      <w:r>
        <w:t>更多相关图书推荐：https://www.jiaokey.com</w:t>
      </w:r>
    </w:p>
    <w:p>
      <w:r>
        <w:t>沈萌红主编；张惠娣，黄方平，钱孝华参编；陈秀宁主审 其他作品：https://www.jiaokey.com/tag/沈萌红主编；张惠娣，黄方平，钱孝华参编；陈秀宁主审.html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关键词搜索：https://www.jiaokey.com/tag/TRIZ理论及机械创新实践.html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