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法的全球化与全球化的法</w:t>
      </w:r>
    </w:p>
    <w:p>
      <w:r>
        <w:rPr>
          <w:rFonts w:ascii="宋体" w:hAnsi="宋体" w:eastAsia="宋体"/>
          <w:sz w:val="24"/>
        </w:rPr>
        <w:t>葛祥林等著；李炳南主编；台湾大学国家发展研究所策划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法的全球化与全球化的法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葛祥林等著；李炳南主编；台湾大学国家发展研究所策划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本书出售、求购地址：https://www.jiaokey.com/book/detail/12996279.html</w:t>
      </w:r>
    </w:p>
    <w:p>
      <w:r>
        <w:t>更多相关图书推荐：https://www.jiaokey.com</w:t>
      </w:r>
    </w:p>
    <w:p>
      <w:r>
        <w:t>葛祥林等著；李炳南主编；台湾大学国家发展研究所策划 其他作品：https://www.jiaokey.com/tag/葛祥林等著；李炳南主编；台湾大学国家发展研究所策划.html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关键词搜索：https://www.jiaokey.com/tag/法的全球化与全球化的法.html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