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国家司法考试全真模考冲关3+2</w:t>
      </w:r>
    </w:p>
    <w:p>
      <w:r>
        <w:rPr>
          <w:rFonts w:ascii="宋体" w:hAnsi="宋体" w:eastAsia="宋体"/>
          <w:sz w:val="24"/>
        </w:rPr>
        <w:t>段波主编；北京万国学校组编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国家司法考试全真模考冲关3+2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段波主编；北京万国学校组编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资格法制出版社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本书出售、求购地址：https://www.jiaokey.com/book/detail/12995835.html</w:t>
      </w:r>
    </w:p>
    <w:p>
      <w:r>
        <w:t>更多相关图书推荐：https://www.jiaokey.com</w:t>
      </w:r>
    </w:p>
    <w:p>
      <w:r>
        <w:t>段波主编；北京万国学校组编 其他作品：https://www.jiaokey.com/tag/段波主编；北京万国学校组编.html</w:t>
      </w:r>
    </w:p>
    <w:p>
      <w:r>
        <w:t>资格法制出版社 出版图书：https://www.jiaokey.com/tag/资格法制出版社.html</w:t>
      </w:r>
    </w:p>
    <w:p>
      <w:r>
        <w:t>关键词搜索：https://www.jiaokey.com/tag/国家司法考试全真模考冲关3+2.html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